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77777777" w:rsidR="00616179" w:rsidRPr="009A1155" w:rsidRDefault="00616179" w:rsidP="001618EC">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Northampton International Academy  </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187129BB" w:rsidR="00616179" w:rsidRPr="00B90432" w:rsidRDefault="00B02FDA" w:rsidP="004A6FE0">
            <w:pPr>
              <w:outlineLvl w:val="0"/>
              <w:rPr>
                <w:rFonts w:asciiTheme="minorHAnsi" w:hAnsiTheme="minorHAnsi" w:cstheme="minorHAnsi"/>
                <w:sz w:val="22"/>
                <w:szCs w:val="22"/>
              </w:rPr>
            </w:pPr>
            <w:r>
              <w:rPr>
                <w:rFonts w:asciiTheme="minorHAnsi" w:hAnsiTheme="minorHAnsi" w:cstheme="minorHAnsi"/>
                <w:sz w:val="22"/>
                <w:szCs w:val="22"/>
              </w:rPr>
              <w:t>Exam Invigilator</w:t>
            </w:r>
            <w:r w:rsidR="00CA2FBD">
              <w:rPr>
                <w:rFonts w:asciiTheme="minorHAnsi" w:hAnsiTheme="minorHAnsi" w:cstheme="minorHAnsi"/>
                <w:sz w:val="22"/>
                <w:szCs w:val="22"/>
              </w:rPr>
              <w:t xml:space="preserve"> </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3CB235FB" w:rsidR="00616179" w:rsidRPr="00B90432" w:rsidRDefault="00B02FDA" w:rsidP="00105927">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Exam Officer</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1BCDBC25" w:rsidR="00105927" w:rsidRPr="00DC509D" w:rsidRDefault="00105927" w:rsidP="001618EC">
            <w:pPr>
              <w:spacing w:after="200" w:line="276" w:lineRule="auto"/>
              <w:outlineLvl w:val="0"/>
              <w:rPr>
                <w:rFonts w:asciiTheme="minorHAnsi" w:hAnsiTheme="minorHAnsi" w:cstheme="minorHAnsi"/>
                <w:sz w:val="22"/>
                <w:szCs w:val="22"/>
              </w:rPr>
            </w:pP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3EB7A8BD" w:rsidR="00EA3FFC" w:rsidRPr="00DC509D" w:rsidRDefault="00EA3FFC" w:rsidP="00AE23BD">
            <w:pPr>
              <w:spacing w:after="200" w:line="276" w:lineRule="auto"/>
              <w:outlineLvl w:val="0"/>
              <w:rPr>
                <w:rFonts w:asciiTheme="minorHAnsi" w:hAnsiTheme="minorHAnsi" w:cstheme="minorHAnsi"/>
                <w:sz w:val="22"/>
                <w:szCs w:val="22"/>
                <w:highlight w:val="yellow"/>
              </w:rPr>
            </w:pP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6B112E0" w14:textId="4BBEF9AA" w:rsidR="00415646" w:rsidRPr="2AF1ED69" w:rsidRDefault="00B02FDA" w:rsidP="00415646">
            <w:pPr>
              <w:outlineLvl w:val="0"/>
              <w:rPr>
                <w:rFonts w:asciiTheme="minorHAnsi" w:hAnsiTheme="minorHAnsi" w:cstheme="minorBidi"/>
                <w:sz w:val="22"/>
                <w:szCs w:val="22"/>
                <w:highlight w:val="yellow"/>
              </w:rPr>
            </w:pPr>
            <w:r>
              <w:rPr>
                <w:rFonts w:asciiTheme="minorHAnsi" w:hAnsiTheme="minorHAnsi" w:cstheme="minorBidi"/>
                <w:sz w:val="22"/>
                <w:szCs w:val="22"/>
              </w:rPr>
              <w:t>0hrs contract, when required</w:t>
            </w:r>
            <w:r w:rsidR="00415646" w:rsidRPr="00415646">
              <w:rPr>
                <w:rFonts w:asciiTheme="minorHAnsi" w:hAnsiTheme="minorHAnsi" w:cstheme="minorBidi"/>
                <w:sz w:val="22"/>
                <w:szCs w:val="22"/>
              </w:rPr>
              <w:t xml:space="preserve"> </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27A3BB62">
            <wp:extent cx="2569418" cy="17208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61" cy="1760728"/>
                    </a:xfrm>
                    <a:prstGeom prst="rect">
                      <a:avLst/>
                    </a:prstGeom>
                    <a:noFill/>
                  </pic:spPr>
                </pic:pic>
              </a:graphicData>
            </a:graphic>
          </wp:inline>
        </w:drawing>
      </w:r>
    </w:p>
    <w:p w14:paraId="7FF70A75" w14:textId="77777777" w:rsidR="001777CF"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rPr>
      </w:pPr>
    </w:p>
    <w:p w14:paraId="43592490" w14:textId="77777777" w:rsidR="001777CF" w:rsidRPr="009A1155"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9A1155">
        <w:rPr>
          <w:rStyle w:val="normaltextrun"/>
          <w:rFonts w:asciiTheme="minorHAnsi" w:hAnsiTheme="minorHAnsi" w:cstheme="minorHAnsi"/>
          <w:bCs/>
          <w:sz w:val="22"/>
          <w:szCs w:val="22"/>
        </w:rPr>
        <w:t xml:space="preserve">All staff should be committed to the </w:t>
      </w:r>
      <w:r w:rsidR="00105927" w:rsidRPr="009A1155">
        <w:rPr>
          <w:rStyle w:val="normaltextrun"/>
          <w:rFonts w:asciiTheme="minorHAnsi" w:hAnsiTheme="minorHAnsi" w:cstheme="minorHAnsi"/>
          <w:bCs/>
          <w:sz w:val="22"/>
          <w:szCs w:val="22"/>
        </w:rPr>
        <w:t>school</w:t>
      </w:r>
      <w:r w:rsidRPr="009A1155">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9A1155">
        <w:rPr>
          <w:rStyle w:val="normaltextrun"/>
          <w:rFonts w:asciiTheme="minorHAnsi" w:hAnsiTheme="minorHAnsi" w:cstheme="minorHAnsi"/>
          <w:bCs/>
          <w:sz w:val="22"/>
          <w:szCs w:val="22"/>
        </w:rPr>
        <w:t>school</w:t>
      </w:r>
      <w:r w:rsidRPr="009A1155">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1777CF"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1EDEAAD3" w14:textId="27D67E80" w:rsidR="00F43B3A" w:rsidRDefault="00B02FDA" w:rsidP="00F43B3A">
      <w:pPr>
        <w:pStyle w:val="paragraph"/>
        <w:spacing w:before="0" w:beforeAutospacing="0" w:after="0" w:afterAutospacing="0"/>
        <w:jc w:val="both"/>
        <w:textAlignment w:val="baseline"/>
        <w:rPr>
          <w:rStyle w:val="normaltextrun"/>
          <w:rFonts w:asciiTheme="minorHAnsi" w:hAnsiTheme="minorHAnsi" w:cstheme="minorHAnsi"/>
          <w:b/>
          <w:bCs/>
          <w:color w:val="0070C0"/>
        </w:rPr>
      </w:pPr>
      <w:r>
        <w:rPr>
          <w:rStyle w:val="normaltextrun"/>
          <w:rFonts w:asciiTheme="minorHAnsi" w:hAnsiTheme="minorHAnsi" w:cstheme="minorHAnsi"/>
          <w:b/>
          <w:bCs/>
          <w:color w:val="0070C0"/>
        </w:rPr>
        <w:t>Exam Invigilator</w:t>
      </w:r>
      <w:r w:rsidR="003F1C18">
        <w:rPr>
          <w:rStyle w:val="normaltextrun"/>
          <w:rFonts w:asciiTheme="minorHAnsi" w:hAnsiTheme="minorHAnsi" w:cstheme="minorHAnsi"/>
          <w:b/>
          <w:bCs/>
          <w:color w:val="0070C0"/>
        </w:rPr>
        <w:t xml:space="preserve"> main responsibilities</w:t>
      </w:r>
    </w:p>
    <w:p w14:paraId="2855A63D" w14:textId="77777777" w:rsidR="005F1516" w:rsidRPr="001701A4" w:rsidRDefault="005F1516" w:rsidP="00F43B3A">
      <w:pPr>
        <w:pStyle w:val="paragraph"/>
        <w:spacing w:before="0" w:beforeAutospacing="0" w:after="0" w:afterAutospacing="0"/>
        <w:jc w:val="both"/>
        <w:textAlignment w:val="baseline"/>
        <w:rPr>
          <w:rFonts w:asciiTheme="minorHAnsi" w:hAnsiTheme="minorHAnsi" w:cstheme="minorHAnsi"/>
          <w:b/>
          <w:bCs/>
          <w:color w:val="0070C0"/>
        </w:rPr>
      </w:pPr>
    </w:p>
    <w:p w14:paraId="7F83A125" w14:textId="092EB85C" w:rsidR="005F1516" w:rsidRPr="005F1516" w:rsidRDefault="005F1516" w:rsidP="005F1516">
      <w:pPr>
        <w:pStyle w:val="ListParagraph"/>
        <w:spacing w:line="270" w:lineRule="atLeast"/>
        <w:ind w:left="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Examination Invigilation is likely to include the following core elements to be carried out in strict accordance with the aforementioned regulations:</w:t>
      </w:r>
    </w:p>
    <w:p w14:paraId="2CF081EB" w14:textId="77777777" w:rsidR="005F1516" w:rsidRDefault="005F1516" w:rsidP="005F1516">
      <w:pPr>
        <w:pStyle w:val="ListParagraph"/>
        <w:tabs>
          <w:tab w:val="num" w:pos="426"/>
        </w:tabs>
        <w:spacing w:after="300"/>
        <w:textAlignment w:val="baseline"/>
        <w:rPr>
          <w:rFonts w:asciiTheme="minorHAnsi" w:eastAsia="Times New Roman" w:hAnsiTheme="minorHAnsi" w:cstheme="minorHAnsi"/>
          <w:color w:val="000000" w:themeColor="text1"/>
          <w:sz w:val="22"/>
          <w:szCs w:val="22"/>
        </w:rPr>
      </w:pPr>
    </w:p>
    <w:p w14:paraId="358DBA81" w14:textId="77777777" w:rsidR="005F1516" w:rsidRDefault="005F1516" w:rsidP="005F1516">
      <w:pPr>
        <w:pStyle w:val="ListParagraph"/>
        <w:tabs>
          <w:tab w:val="num" w:pos="426"/>
        </w:tabs>
        <w:spacing w:after="300"/>
        <w:ind w:left="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xml:space="preserve">To check that the arrangements of the examination room remain in compliance with the regulations and to ensure a calm environment which will give students the best possible opportunity to be successful in their exams.                                                                                                                                  </w:t>
      </w:r>
    </w:p>
    <w:p w14:paraId="3159AA29" w14:textId="77777777" w:rsidR="005F1516" w:rsidRDefault="005F1516" w:rsidP="005F1516">
      <w:pPr>
        <w:pStyle w:val="ListParagraph"/>
        <w:tabs>
          <w:tab w:val="num" w:pos="426"/>
        </w:tabs>
        <w:spacing w:after="300"/>
        <w:textAlignment w:val="baseline"/>
        <w:rPr>
          <w:rFonts w:asciiTheme="minorHAnsi" w:eastAsia="Times New Roman" w:hAnsiTheme="minorHAnsi" w:cstheme="minorHAnsi"/>
          <w:color w:val="000000" w:themeColor="text1"/>
          <w:sz w:val="22"/>
          <w:szCs w:val="22"/>
        </w:rPr>
      </w:pPr>
    </w:p>
    <w:p w14:paraId="0647D08A" w14:textId="77777777" w:rsidR="005F1516" w:rsidRDefault="005F1516" w:rsidP="005F1516">
      <w:pPr>
        <w:pStyle w:val="ListParagraph"/>
        <w:tabs>
          <w:tab w:val="num" w:pos="426"/>
        </w:tabs>
        <w:spacing w:after="300"/>
        <w:ind w:left="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xml:space="preserve">To issue the regulatory notices to candidates at the start of the examination.                                        </w:t>
      </w:r>
    </w:p>
    <w:p w14:paraId="0D8E5FFE" w14:textId="77777777" w:rsidR="005F1516" w:rsidRDefault="005F1516" w:rsidP="005F1516">
      <w:pPr>
        <w:pStyle w:val="ListParagraph"/>
        <w:tabs>
          <w:tab w:val="num" w:pos="426"/>
        </w:tabs>
        <w:spacing w:after="300"/>
        <w:textAlignment w:val="baseline"/>
        <w:rPr>
          <w:rFonts w:asciiTheme="minorHAnsi" w:eastAsia="Times New Roman" w:hAnsiTheme="minorHAnsi" w:cstheme="minorHAnsi"/>
          <w:color w:val="000000" w:themeColor="text1"/>
          <w:sz w:val="22"/>
          <w:szCs w:val="22"/>
        </w:rPr>
      </w:pPr>
    </w:p>
    <w:p w14:paraId="3847511B" w14:textId="7B247269" w:rsidR="003F1C18" w:rsidRPr="005F1516" w:rsidRDefault="005F1516" w:rsidP="005F1516">
      <w:pPr>
        <w:pStyle w:val="ListParagraph"/>
        <w:tabs>
          <w:tab w:val="num" w:pos="426"/>
        </w:tabs>
        <w:spacing w:after="300"/>
        <w:ind w:left="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maintain the security of examination papers, materials and candidate scripts whilst in the Exam Invigilator’s possession.</w:t>
      </w:r>
    </w:p>
    <w:p w14:paraId="33EEE99D" w14:textId="5E32A7EC"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To start, conduct and finish the examination in accordance with the regulations.</w:t>
      </w:r>
    </w:p>
    <w:p w14:paraId="6BA35382" w14:textId="3C2D3260" w:rsidR="003F1C18"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lastRenderedPageBreak/>
        <w:t>To complete the attendance register with due attention to t</w:t>
      </w:r>
      <w:r w:rsidR="003F1C18">
        <w:rPr>
          <w:rFonts w:asciiTheme="minorHAnsi" w:eastAsia="Times New Roman" w:hAnsiTheme="minorHAnsi" w:cstheme="minorHAnsi"/>
          <w:color w:val="000000" w:themeColor="text1"/>
          <w:sz w:val="22"/>
          <w:szCs w:val="22"/>
        </w:rPr>
        <w:t>he identification of candidates, reporting any students that are missing to the Lead Invigilator as a matter of urgency and to use seating plan to advise student’s where to sit.</w:t>
      </w:r>
    </w:p>
    <w:p w14:paraId="653CEB4B" w14:textId="1E4DA3F2"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supervise candidates with due vigilance during</w:t>
      </w:r>
      <w:r w:rsidR="003F1C18">
        <w:rPr>
          <w:rFonts w:asciiTheme="minorHAnsi" w:eastAsia="Times New Roman" w:hAnsiTheme="minorHAnsi" w:cstheme="minorHAnsi"/>
          <w:color w:val="000000" w:themeColor="text1"/>
          <w:sz w:val="22"/>
          <w:szCs w:val="22"/>
        </w:rPr>
        <w:t xml:space="preserve"> the working of the examination and ensure that students adhere to all examination regulations until they are allowed to leave the room</w:t>
      </w:r>
    </w:p>
    <w:p w14:paraId="5730FABE" w14:textId="5FABEC37"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respond to any questions from candidates about process and procedures.</w:t>
      </w:r>
    </w:p>
    <w:p w14:paraId="3FBEFFD2" w14:textId="1C3EA72D"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deal with any immediate problems or emergencies according to the examination centre or school’s policies or procedures and in accordance with the examination regulations.</w:t>
      </w:r>
    </w:p>
    <w:p w14:paraId="5BFBA267" w14:textId="093EEF1D"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refer to the Examination Officer if it is suspected that malpractice is taking place.</w:t>
      </w:r>
    </w:p>
    <w:p w14:paraId="085EBE9D" w14:textId="011FD08F"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collect completed scripts after the examination has ended and return them to the designated place/person.</w:t>
      </w:r>
    </w:p>
    <w:p w14:paraId="1D190414" w14:textId="58E3A55B"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report back as appropriate using the agreed referral procedures on any issues arising.</w:t>
      </w:r>
    </w:p>
    <w:p w14:paraId="109C1BCD" w14:textId="5B3965E7"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To assist with administration as requested.</w:t>
      </w:r>
    </w:p>
    <w:p w14:paraId="67A32D3E" w14:textId="407EFB16" w:rsidR="005F1516" w:rsidRPr="005F1516" w:rsidRDefault="005F1516" w:rsidP="005F1516">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To ensure that students do not leave an examina</w:t>
      </w:r>
      <w:r w:rsidR="003F1C18">
        <w:rPr>
          <w:rFonts w:asciiTheme="minorHAnsi" w:eastAsia="Times New Roman" w:hAnsiTheme="minorHAnsi" w:cstheme="minorHAnsi"/>
          <w:color w:val="000000" w:themeColor="text1"/>
          <w:sz w:val="22"/>
          <w:szCs w:val="22"/>
        </w:rPr>
        <w:t xml:space="preserve">tion during the exam </w:t>
      </w:r>
      <w:r w:rsidRPr="005F1516">
        <w:rPr>
          <w:rFonts w:asciiTheme="minorHAnsi" w:eastAsia="Times New Roman" w:hAnsiTheme="minorHAnsi" w:cstheme="minorHAnsi"/>
          <w:color w:val="000000" w:themeColor="text1"/>
          <w:sz w:val="22"/>
          <w:szCs w:val="22"/>
        </w:rPr>
        <w:t>(unless escorted for exceptional reasons: always check with the Senior Invigilator).</w:t>
      </w:r>
    </w:p>
    <w:p w14:paraId="7A0B8693" w14:textId="77777777" w:rsidR="005F1516" w:rsidRPr="005F1516" w:rsidRDefault="005F1516" w:rsidP="005F1516">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At the end of examinations to help make sure that answer booklets have been completed correctly, and to help ensure that question numbers have been entered in the appropriate box on the front of the answer booklets.</w:t>
      </w:r>
    </w:p>
    <w:p w14:paraId="2736BA8D" w14:textId="77777777" w:rsidR="005F1516" w:rsidRPr="005F1516" w:rsidRDefault="005F1516" w:rsidP="005F1516">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To help in the collection of exam scripts which need to be collected in order, by candidate number.</w:t>
      </w:r>
    </w:p>
    <w:p w14:paraId="799F8484" w14:textId="77777777" w:rsidR="005F1516" w:rsidRPr="005F1516" w:rsidRDefault="005F1516" w:rsidP="005F1516">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In the event of any discrepancy or irregularity in the progress of an examination, to give a verbal report to the Examination Officer.</w:t>
      </w:r>
    </w:p>
    <w:p w14:paraId="77ABBF39" w14:textId="77777777" w:rsidR="005F1516" w:rsidRPr="005F1516" w:rsidRDefault="005F1516" w:rsidP="005F1516">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Guarding students after an exam until lunch time or the end of the day.</w:t>
      </w:r>
    </w:p>
    <w:p w14:paraId="4345EB60" w14:textId="58C4B50C"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To be aware of and comply with policies and procedures relating to child protection, health and safety, security and confidentiality, reporting all concerns to an appropriate person.</w:t>
      </w:r>
    </w:p>
    <w:p w14:paraId="423485DB" w14:textId="120CCD7D" w:rsidR="005F1516" w:rsidRPr="005F1516" w:rsidRDefault="005F1516" w:rsidP="003F1C18">
      <w:pPr>
        <w:spacing w:after="300"/>
        <w:textAlignment w:val="baseline"/>
        <w:rPr>
          <w:rFonts w:asciiTheme="minorHAnsi" w:eastAsia="Times New Roman" w:hAnsiTheme="minorHAnsi" w:cstheme="minorHAnsi"/>
          <w:color w:val="000000" w:themeColor="text1"/>
          <w:sz w:val="22"/>
          <w:szCs w:val="22"/>
        </w:rPr>
      </w:pPr>
      <w:r w:rsidRPr="005F1516">
        <w:rPr>
          <w:rFonts w:asciiTheme="minorHAnsi" w:eastAsia="Times New Roman" w:hAnsiTheme="minorHAnsi" w:cstheme="minorHAnsi"/>
          <w:color w:val="000000" w:themeColor="text1"/>
          <w:sz w:val="22"/>
          <w:szCs w:val="22"/>
        </w:rPr>
        <w:t> To contribute to overall ethos, work and mission statement of the school.</w:t>
      </w:r>
    </w:p>
    <w:p w14:paraId="4BB2CCEC" w14:textId="0E7C5426" w:rsidR="007147D0"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t>Additional duties</w:t>
      </w:r>
    </w:p>
    <w:p w14:paraId="256C54A0" w14:textId="77777777" w:rsidR="00105927" w:rsidRPr="009A1155" w:rsidRDefault="00A560EF"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Whilst every effort has been made to explain the main duties and responsibilities p</w:t>
      </w:r>
      <w:r w:rsidR="00105927" w:rsidRPr="009A1155">
        <w:rPr>
          <w:rFonts w:ascii="Calibri" w:eastAsia="Times New Roman" w:hAnsi="Calibri" w:cs="Calibri"/>
          <w:color w:val="000000" w:themeColor="text1"/>
          <w:sz w:val="22"/>
          <w:szCs w:val="22"/>
        </w:rPr>
        <w:t xml:space="preserve">lease note that </w:t>
      </w:r>
      <w:r w:rsidR="009A1155" w:rsidRPr="009A1155">
        <w:rPr>
          <w:rFonts w:ascii="Calibri" w:eastAsia="Times New Roman" w:hAnsi="Calibri" w:cs="Calibri"/>
          <w:color w:val="000000" w:themeColor="text1"/>
          <w:sz w:val="22"/>
          <w:szCs w:val="22"/>
        </w:rPr>
        <w:t xml:space="preserve">this </w:t>
      </w:r>
      <w:r w:rsidR="00105927" w:rsidRPr="009A1155">
        <w:rPr>
          <w:rFonts w:ascii="Calibri" w:eastAsia="Times New Roman" w:hAnsi="Calibri" w:cs="Calibr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9A1155" w:rsidRDefault="00A560EF"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lastRenderedPageBreak/>
        <w:t xml:space="preserve">Employees will be expected to comply with any reasonable request from a manager to undertake work of a similar level that is not specified in this job description. </w:t>
      </w:r>
    </w:p>
    <w:p w14:paraId="731C7CC2"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b/>
          <w:color w:val="000000" w:themeColor="text1"/>
          <w:sz w:val="22"/>
          <w:szCs w:val="22"/>
        </w:rPr>
        <w:t>N.B.</w:t>
      </w:r>
      <w:r w:rsidRPr="009A1155">
        <w:rPr>
          <w:rFonts w:ascii="Calibri" w:eastAsia="Times New Roman" w:hAnsi="Calibri" w:cs="Calibri"/>
          <w:b/>
          <w:color w:val="000000" w:themeColor="text1"/>
          <w:sz w:val="22"/>
          <w:szCs w:val="22"/>
        </w:rPr>
        <w:tab/>
      </w:r>
      <w:r w:rsidRPr="009A1155">
        <w:rPr>
          <w:rFonts w:ascii="Calibri" w:eastAsia="Times New Roman" w:hAnsi="Calibri" w:cs="Calibri"/>
          <w:color w:val="000000" w:themeColor="text1"/>
          <w:sz w:val="22"/>
          <w:szCs w:val="22"/>
        </w:rPr>
        <w:t xml:space="preserve">The post holder will carry out his/her responsibilities in accordance with the Trust’s equal opportunities policy. </w:t>
      </w:r>
    </w:p>
    <w:p w14:paraId="26EB1850"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t>Health and Safety</w:t>
      </w:r>
    </w:p>
    <w:p w14:paraId="268CB087"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3DC86D3"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5ED1BA67" w14:textId="113BC26B" w:rsidR="00105927" w:rsidRPr="00262DC1" w:rsidRDefault="003F1C18" w:rsidP="2AF1ED69">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r w:rsidR="00105927" w:rsidRPr="00262DC1">
              <w:rPr>
                <w:rFonts w:asciiTheme="minorHAnsi" w:hAnsiTheme="minorHAnsi" w:cstheme="minorHAnsi"/>
                <w:sz w:val="22"/>
                <w:szCs w:val="22"/>
              </w:rPr>
              <w:tab/>
            </w:r>
            <w:r w:rsidR="00105927" w:rsidRPr="00262DC1">
              <w:rPr>
                <w:rFonts w:asciiTheme="minorHAnsi" w:hAnsiTheme="minorHAnsi" w:cstheme="minorHAnsi"/>
                <w:sz w:val="22"/>
                <w:szCs w:val="22"/>
              </w:rPr>
              <w:tab/>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Pr="00262DC1">
              <w:rPr>
                <w:rFonts w:asciiTheme="minorHAnsi" w:hAnsiTheme="minorHAnsi" w:cstheme="minorHAnsi"/>
                <w:sz w:val="22"/>
                <w:szCs w:val="22"/>
              </w:rPr>
              <w:tab/>
              <w:t xml:space="preserve">      ___/___/___</w:t>
            </w:r>
          </w:p>
        </w:tc>
      </w:tr>
      <w:tr w:rsidR="00105927" w:rsidRPr="00262DC1" w14:paraId="5B62759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12" w:space="0" w:color="auto"/>
              <w:right w:val="single" w:sz="12" w:space="0" w:color="auto"/>
            </w:tcBorders>
          </w:tcPr>
          <w:p w14:paraId="6DF4976F"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316FBDEB"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6DF9D672"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5FBC4426"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5175A9D6" w14:textId="24A4C23C"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lastRenderedPageBreak/>
        <w:t xml:space="preserve">Person Specification </w:t>
      </w:r>
    </w:p>
    <w:tbl>
      <w:tblPr>
        <w:tblStyle w:val="TableGrid"/>
        <w:tblW w:w="10774" w:type="dxa"/>
        <w:tblInd w:w="-856" w:type="dxa"/>
        <w:tblLook w:val="04A0" w:firstRow="1" w:lastRow="0" w:firstColumn="1" w:lastColumn="0" w:noHBand="0" w:noVBand="1"/>
      </w:tblPr>
      <w:tblGrid>
        <w:gridCol w:w="8314"/>
        <w:gridCol w:w="1230"/>
        <w:gridCol w:w="1230"/>
      </w:tblGrid>
      <w:tr w:rsidR="00617666" w:rsidRPr="00617666" w14:paraId="618AA341" w14:textId="77777777" w:rsidTr="001A0A74">
        <w:tc>
          <w:tcPr>
            <w:tcW w:w="8314" w:type="dxa"/>
            <w:shd w:val="clear" w:color="auto" w:fill="DEEAF6" w:themeFill="accent1" w:themeFillTint="33"/>
          </w:tcPr>
          <w:p w14:paraId="2A014711" w14:textId="77777777" w:rsidR="00617666" w:rsidRPr="00617666" w:rsidRDefault="00617666" w:rsidP="001618EC">
            <w:pPr>
              <w:jc w:val="center"/>
              <w:rPr>
                <w:rFonts w:asciiTheme="minorHAnsi" w:hAnsiTheme="minorHAnsi" w:cstheme="minorHAnsi"/>
                <w:b/>
                <w:sz w:val="22"/>
                <w:szCs w:val="22"/>
              </w:rPr>
            </w:pPr>
          </w:p>
        </w:tc>
        <w:tc>
          <w:tcPr>
            <w:tcW w:w="1230" w:type="dxa"/>
            <w:shd w:val="clear" w:color="auto" w:fill="DEEAF6" w:themeFill="accent1" w:themeFillTint="33"/>
          </w:tcPr>
          <w:p w14:paraId="0E10263A" w14:textId="77777777" w:rsidR="00617666" w:rsidRPr="00617666" w:rsidRDefault="00617666" w:rsidP="001618EC">
            <w:pPr>
              <w:jc w:val="center"/>
              <w:rPr>
                <w:rFonts w:asciiTheme="minorHAnsi" w:hAnsiTheme="minorHAnsi" w:cstheme="minorHAnsi"/>
                <w:b/>
                <w:sz w:val="22"/>
                <w:szCs w:val="22"/>
              </w:rPr>
            </w:pPr>
          </w:p>
          <w:p w14:paraId="1C974AC0"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Essential</w:t>
            </w:r>
          </w:p>
        </w:tc>
        <w:tc>
          <w:tcPr>
            <w:tcW w:w="1230" w:type="dxa"/>
            <w:shd w:val="clear" w:color="auto" w:fill="DEEAF6" w:themeFill="accent1" w:themeFillTint="33"/>
          </w:tcPr>
          <w:p w14:paraId="731B6CC2" w14:textId="77777777" w:rsidR="00617666" w:rsidRPr="00617666" w:rsidRDefault="00617666" w:rsidP="001618EC">
            <w:pPr>
              <w:jc w:val="center"/>
              <w:rPr>
                <w:rFonts w:asciiTheme="minorHAnsi" w:hAnsiTheme="minorHAnsi" w:cstheme="minorHAnsi"/>
                <w:b/>
                <w:sz w:val="22"/>
                <w:szCs w:val="22"/>
              </w:rPr>
            </w:pPr>
          </w:p>
          <w:p w14:paraId="7E28337A"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Desirable</w:t>
            </w:r>
          </w:p>
          <w:p w14:paraId="674BC9D3" w14:textId="77777777" w:rsidR="00617666" w:rsidRPr="00617666" w:rsidRDefault="00617666" w:rsidP="001618EC">
            <w:pPr>
              <w:jc w:val="center"/>
              <w:rPr>
                <w:rFonts w:asciiTheme="minorHAnsi" w:hAnsiTheme="minorHAnsi" w:cstheme="minorHAnsi"/>
                <w:b/>
                <w:sz w:val="22"/>
                <w:szCs w:val="22"/>
              </w:rPr>
            </w:pPr>
          </w:p>
        </w:tc>
      </w:tr>
      <w:tr w:rsidR="00617666" w:rsidRPr="00617666" w14:paraId="5BD993B2" w14:textId="77777777" w:rsidTr="2AF1ED69">
        <w:tc>
          <w:tcPr>
            <w:tcW w:w="10774" w:type="dxa"/>
            <w:gridSpan w:val="3"/>
            <w:shd w:val="clear" w:color="auto" w:fill="FFF2CC" w:themeFill="accent4" w:themeFillTint="33"/>
          </w:tcPr>
          <w:p w14:paraId="1EA5DB44"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Education and Qualifications</w:t>
            </w:r>
          </w:p>
        </w:tc>
      </w:tr>
      <w:tr w:rsidR="00617666" w:rsidRPr="00617666" w14:paraId="239FF766" w14:textId="77777777" w:rsidTr="001A0A74">
        <w:tc>
          <w:tcPr>
            <w:tcW w:w="8314" w:type="dxa"/>
          </w:tcPr>
          <w:p w14:paraId="45040541" w14:textId="77777777" w:rsidR="00617666" w:rsidRPr="00617666" w:rsidRDefault="00617666" w:rsidP="00617666">
            <w:pPr>
              <w:rPr>
                <w:rFonts w:asciiTheme="minorHAnsi" w:hAnsiTheme="minorHAnsi" w:cstheme="minorHAnsi"/>
                <w:sz w:val="22"/>
                <w:szCs w:val="22"/>
              </w:rPr>
            </w:pPr>
            <w:r>
              <w:rPr>
                <w:rFonts w:asciiTheme="minorHAnsi" w:hAnsiTheme="minorHAnsi" w:cstheme="minorHAnsi"/>
                <w:sz w:val="22"/>
                <w:szCs w:val="22"/>
              </w:rPr>
              <w:t xml:space="preserve">Good level of education to at least A-level standard or equivalent. </w:t>
            </w:r>
          </w:p>
        </w:tc>
        <w:tc>
          <w:tcPr>
            <w:tcW w:w="1230" w:type="dxa"/>
          </w:tcPr>
          <w:p w14:paraId="464A768A" w14:textId="49BF5048" w:rsidR="00617666" w:rsidRPr="00617666" w:rsidRDefault="00617666" w:rsidP="2AF1ED69">
            <w:pPr>
              <w:overflowPunct w:val="0"/>
              <w:autoSpaceDE w:val="0"/>
              <w:autoSpaceDN w:val="0"/>
              <w:adjustRightInd w:val="0"/>
              <w:jc w:val="center"/>
              <w:textAlignment w:val="baseline"/>
              <w:rPr>
                <w:rFonts w:ascii="Wingdings" w:eastAsia="Wingdings" w:hAnsi="Wingdings" w:cs="Wingdings"/>
                <w:b/>
                <w:bCs/>
              </w:rPr>
            </w:pPr>
          </w:p>
        </w:tc>
        <w:tc>
          <w:tcPr>
            <w:tcW w:w="1230" w:type="dxa"/>
          </w:tcPr>
          <w:p w14:paraId="31B26380" w14:textId="2FB3DA13" w:rsidR="00617666" w:rsidRPr="00617666" w:rsidRDefault="2AF1ED69"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r w:rsidRPr="2AF1ED69">
              <w:rPr>
                <w:rFonts w:asciiTheme="minorHAnsi" w:hAnsiTheme="minorHAnsi" w:cstheme="minorBidi"/>
                <w:b/>
                <w:bCs/>
                <w:sz w:val="22"/>
                <w:szCs w:val="22"/>
              </w:rPr>
              <w:t xml:space="preserve"> </w:t>
            </w:r>
          </w:p>
        </w:tc>
      </w:tr>
      <w:tr w:rsidR="00617666" w:rsidRPr="00617666" w14:paraId="157698C4" w14:textId="77777777" w:rsidTr="001A0A74">
        <w:tc>
          <w:tcPr>
            <w:tcW w:w="8314" w:type="dxa"/>
          </w:tcPr>
          <w:p w14:paraId="4AE2CBFC"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First Aid training</w:t>
            </w:r>
          </w:p>
        </w:tc>
        <w:tc>
          <w:tcPr>
            <w:tcW w:w="1230" w:type="dxa"/>
          </w:tcPr>
          <w:p w14:paraId="79B86AC5"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32E4FACF"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0811EB27" w14:textId="77777777" w:rsidTr="2AF1ED69">
        <w:tc>
          <w:tcPr>
            <w:tcW w:w="10774" w:type="dxa"/>
            <w:gridSpan w:val="3"/>
            <w:shd w:val="clear" w:color="auto" w:fill="FFF2CC" w:themeFill="accent4" w:themeFillTint="33"/>
          </w:tcPr>
          <w:p w14:paraId="01CF4836"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 xml:space="preserve">Experience </w:t>
            </w:r>
          </w:p>
        </w:tc>
      </w:tr>
      <w:tr w:rsidR="00617666" w:rsidRPr="00617666" w14:paraId="10D9CB5D" w14:textId="77777777" w:rsidTr="001A0A74">
        <w:tc>
          <w:tcPr>
            <w:tcW w:w="8314" w:type="dxa"/>
          </w:tcPr>
          <w:p w14:paraId="3276FF1A"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 xml:space="preserve">Working in a similar environment </w:t>
            </w:r>
            <w:r w:rsidRPr="00617666">
              <w:rPr>
                <w:rFonts w:asciiTheme="minorHAnsi" w:hAnsiTheme="minorHAnsi" w:cstheme="minorHAnsi"/>
                <w:sz w:val="22"/>
                <w:szCs w:val="22"/>
              </w:rPr>
              <w:t xml:space="preserve"> </w:t>
            </w:r>
          </w:p>
        </w:tc>
        <w:tc>
          <w:tcPr>
            <w:tcW w:w="1230" w:type="dxa"/>
          </w:tcPr>
          <w:p w14:paraId="1A25614E" w14:textId="63EF9D94"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2712A1E6" w14:textId="21B0564E" w:rsidR="00617666" w:rsidRPr="00617666" w:rsidRDefault="009F7822" w:rsidP="00617666">
            <w:pPr>
              <w:jc w:val="center"/>
              <w:rPr>
                <w:rFonts w:asciiTheme="minorHAnsi" w:hAnsiTheme="minorHAnsi" w:cstheme="minorHAnsi"/>
                <w:b/>
                <w:sz w:val="22"/>
                <w:szCs w:val="22"/>
              </w:rPr>
            </w:pPr>
            <w:r>
              <w:rPr>
                <w:rFonts w:ascii="Wingdings" w:eastAsia="Wingdings" w:hAnsi="Wingdings" w:cs="Wingdings"/>
                <w:b/>
              </w:rPr>
              <w:t></w:t>
            </w:r>
          </w:p>
        </w:tc>
      </w:tr>
      <w:tr w:rsidR="00617666" w:rsidRPr="00617666" w14:paraId="598B6D56" w14:textId="77777777" w:rsidTr="001A0A74">
        <w:tc>
          <w:tcPr>
            <w:tcW w:w="8314" w:type="dxa"/>
          </w:tcPr>
          <w:p w14:paraId="64092EDC"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Working and communicating with external agencies</w:t>
            </w:r>
          </w:p>
        </w:tc>
        <w:tc>
          <w:tcPr>
            <w:tcW w:w="1230" w:type="dxa"/>
          </w:tcPr>
          <w:p w14:paraId="4F57A4FB"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70612312"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645B0632" w14:textId="77777777" w:rsidTr="2AF1ED69">
        <w:tc>
          <w:tcPr>
            <w:tcW w:w="10774" w:type="dxa"/>
            <w:gridSpan w:val="3"/>
            <w:shd w:val="clear" w:color="auto" w:fill="FFF2CC" w:themeFill="accent4" w:themeFillTint="33"/>
          </w:tcPr>
          <w:p w14:paraId="5C05C4C8"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Knowledge and understanding</w:t>
            </w:r>
          </w:p>
        </w:tc>
      </w:tr>
      <w:tr w:rsidR="00617666" w:rsidRPr="00617666" w14:paraId="0B1E57E9" w14:textId="77777777" w:rsidTr="001A0A74">
        <w:tc>
          <w:tcPr>
            <w:tcW w:w="8314" w:type="dxa"/>
          </w:tcPr>
          <w:p w14:paraId="13098854" w14:textId="0B2618EF" w:rsidR="00617666" w:rsidRDefault="00617666" w:rsidP="001618EC">
            <w:pPr>
              <w:rPr>
                <w:rFonts w:asciiTheme="minorHAnsi" w:hAnsiTheme="minorHAnsi" w:cstheme="minorHAnsi"/>
                <w:sz w:val="22"/>
                <w:szCs w:val="22"/>
              </w:rPr>
            </w:pPr>
          </w:p>
        </w:tc>
        <w:tc>
          <w:tcPr>
            <w:tcW w:w="1230" w:type="dxa"/>
          </w:tcPr>
          <w:p w14:paraId="6FBFC206" w14:textId="630152AC"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2A835345" w14:textId="080E5C2D" w:rsidR="00617666" w:rsidRPr="00617666" w:rsidRDefault="00DC509D"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1A786B1B" w14:textId="77777777" w:rsidTr="001A0A74">
        <w:tc>
          <w:tcPr>
            <w:tcW w:w="8314" w:type="dxa"/>
          </w:tcPr>
          <w:p w14:paraId="261F30F4"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Safeguarding policies and procedures</w:t>
            </w:r>
          </w:p>
        </w:tc>
        <w:tc>
          <w:tcPr>
            <w:tcW w:w="1230" w:type="dxa"/>
          </w:tcPr>
          <w:p w14:paraId="15A5DA08" w14:textId="78F8D9FA" w:rsidR="00617666" w:rsidRPr="00617666" w:rsidRDefault="2AF1ED69"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c>
          <w:tcPr>
            <w:tcW w:w="1230" w:type="dxa"/>
          </w:tcPr>
          <w:p w14:paraId="16AA3322" w14:textId="11FD5397" w:rsidR="00617666" w:rsidRPr="00617666" w:rsidRDefault="00617666" w:rsidP="2AF1ED69">
            <w:pPr>
              <w:overflowPunct w:val="0"/>
              <w:autoSpaceDE w:val="0"/>
              <w:autoSpaceDN w:val="0"/>
              <w:adjustRightInd w:val="0"/>
              <w:jc w:val="center"/>
              <w:textAlignment w:val="baseline"/>
              <w:rPr>
                <w:rFonts w:ascii="Wingdings" w:eastAsia="Wingdings" w:hAnsi="Wingdings" w:cs="Wingdings"/>
                <w:b/>
                <w:bCs/>
              </w:rPr>
            </w:pPr>
          </w:p>
        </w:tc>
      </w:tr>
      <w:tr w:rsidR="00617666" w:rsidRPr="00617666" w14:paraId="2DF3CD55" w14:textId="77777777" w:rsidTr="001A0A74">
        <w:tc>
          <w:tcPr>
            <w:tcW w:w="8314" w:type="dxa"/>
          </w:tcPr>
          <w:p w14:paraId="18B1B6CA"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t>The roles played by various adults in a student’s education</w:t>
            </w:r>
          </w:p>
        </w:tc>
        <w:tc>
          <w:tcPr>
            <w:tcW w:w="1230" w:type="dxa"/>
          </w:tcPr>
          <w:p w14:paraId="74BE1DE6"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3C8DFB70"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CD631B" w:rsidRPr="00617666" w14:paraId="434690FE" w14:textId="77777777" w:rsidTr="2AF1ED69">
        <w:tc>
          <w:tcPr>
            <w:tcW w:w="10774" w:type="dxa"/>
            <w:gridSpan w:val="3"/>
            <w:shd w:val="clear" w:color="auto" w:fill="FFF2CC" w:themeFill="accent4" w:themeFillTint="33"/>
          </w:tcPr>
          <w:p w14:paraId="7D1900F4" w14:textId="77777777" w:rsidR="00CD631B" w:rsidRPr="00CD631B" w:rsidRDefault="00CD631B" w:rsidP="00CD631B">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Skills and Attributes</w:t>
            </w:r>
          </w:p>
        </w:tc>
      </w:tr>
      <w:tr w:rsidR="00617666" w:rsidRPr="00617666" w14:paraId="48C575FB" w14:textId="77777777" w:rsidTr="001A0A74">
        <w:tc>
          <w:tcPr>
            <w:tcW w:w="8314" w:type="dxa"/>
          </w:tcPr>
          <w:p w14:paraId="05353FF6" w14:textId="77777777" w:rsidR="00617666" w:rsidRPr="001A0A74" w:rsidRDefault="00CD631B" w:rsidP="001618EC">
            <w:pPr>
              <w:rPr>
                <w:rFonts w:asciiTheme="minorHAnsi" w:hAnsiTheme="minorHAnsi" w:cstheme="minorHAnsi"/>
                <w:sz w:val="22"/>
                <w:szCs w:val="22"/>
              </w:rPr>
            </w:pPr>
            <w:r w:rsidRPr="001A0A74">
              <w:rPr>
                <w:rFonts w:asciiTheme="minorHAnsi" w:hAnsiTheme="minorHAnsi" w:cstheme="minorHAnsi"/>
                <w:sz w:val="22"/>
                <w:szCs w:val="22"/>
              </w:rPr>
              <w:t>Work with guidance but with limited supervision</w:t>
            </w:r>
          </w:p>
        </w:tc>
        <w:tc>
          <w:tcPr>
            <w:tcW w:w="1230" w:type="dxa"/>
          </w:tcPr>
          <w:p w14:paraId="66E3721E" w14:textId="77777777" w:rsidR="00617666"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3E9DDA1E"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68394C9" w14:textId="77777777" w:rsidTr="001A0A74">
        <w:trPr>
          <w:trHeight w:val="403"/>
        </w:trPr>
        <w:tc>
          <w:tcPr>
            <w:tcW w:w="8314" w:type="dxa"/>
          </w:tcPr>
          <w:p w14:paraId="5A4C0A27" w14:textId="2368B1EB" w:rsidR="001A0A74" w:rsidRPr="001A0A74" w:rsidRDefault="001A0A74" w:rsidP="001A0A74">
            <w:pPr>
              <w:pStyle w:val="Title"/>
              <w:jc w:val="left"/>
              <w:rPr>
                <w:rFonts w:asciiTheme="minorHAnsi" w:hAnsiTheme="minorHAnsi" w:cstheme="minorHAnsi"/>
                <w:b w:val="0"/>
                <w:bCs w:val="0"/>
                <w:sz w:val="22"/>
                <w:szCs w:val="22"/>
                <w:u w:val="none"/>
              </w:rPr>
            </w:pPr>
            <w:r w:rsidRPr="001A0A74">
              <w:rPr>
                <w:rFonts w:asciiTheme="minorHAnsi" w:hAnsiTheme="minorHAnsi" w:cstheme="minorHAnsi"/>
                <w:b w:val="0"/>
                <w:bCs w:val="0"/>
                <w:sz w:val="22"/>
                <w:szCs w:val="22"/>
                <w:u w:val="none"/>
              </w:rPr>
              <w:t>Excellent o</w:t>
            </w:r>
            <w:r>
              <w:rPr>
                <w:rFonts w:asciiTheme="minorHAnsi" w:hAnsiTheme="minorHAnsi" w:cstheme="minorHAnsi"/>
                <w:b w:val="0"/>
                <w:bCs w:val="0"/>
                <w:sz w:val="22"/>
                <w:szCs w:val="22"/>
                <w:u w:val="none"/>
              </w:rPr>
              <w:t>rganisational skills</w:t>
            </w:r>
          </w:p>
        </w:tc>
        <w:tc>
          <w:tcPr>
            <w:tcW w:w="1230" w:type="dxa"/>
          </w:tcPr>
          <w:p w14:paraId="322E708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3AA0D120"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6441D1F1" w14:textId="77777777" w:rsidTr="001A0A74">
        <w:tc>
          <w:tcPr>
            <w:tcW w:w="8314" w:type="dxa"/>
          </w:tcPr>
          <w:p w14:paraId="38A187AE" w14:textId="7AABCE77" w:rsidR="001A0A74" w:rsidRPr="001A0A74" w:rsidRDefault="001A0A74" w:rsidP="001A0A74">
            <w:pPr>
              <w:pStyle w:val="Title"/>
              <w:jc w:val="left"/>
              <w:rPr>
                <w:rFonts w:asciiTheme="minorHAnsi" w:hAnsiTheme="minorHAnsi" w:cstheme="minorHAnsi"/>
                <w:b w:val="0"/>
                <w:bCs w:val="0"/>
                <w:sz w:val="22"/>
                <w:szCs w:val="22"/>
                <w:u w:val="none"/>
              </w:rPr>
            </w:pPr>
            <w:r w:rsidRPr="001A0A74">
              <w:rPr>
                <w:rFonts w:asciiTheme="minorHAnsi" w:hAnsiTheme="minorHAnsi" w:cstheme="minorHAnsi"/>
                <w:b w:val="0"/>
                <w:bCs w:val="0"/>
                <w:sz w:val="22"/>
                <w:szCs w:val="22"/>
                <w:u w:val="none"/>
              </w:rPr>
              <w:t>Ability to work under pressure</w:t>
            </w:r>
            <w:r w:rsidRPr="001A0A74">
              <w:rPr>
                <w:rFonts w:asciiTheme="minorHAnsi" w:hAnsiTheme="minorHAnsi" w:cstheme="minorHAnsi"/>
                <w:b w:val="0"/>
                <w:bCs w:val="0"/>
                <w:sz w:val="22"/>
                <w:szCs w:val="22"/>
                <w:u w:val="none"/>
              </w:rPr>
              <w:t xml:space="preserve"> and able to keep calm </w:t>
            </w:r>
          </w:p>
        </w:tc>
        <w:tc>
          <w:tcPr>
            <w:tcW w:w="1230" w:type="dxa"/>
          </w:tcPr>
          <w:p w14:paraId="27DF005E" w14:textId="169F2E8E"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311DEE0A"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32681D19" w14:textId="77777777" w:rsidTr="001A0A74">
        <w:tc>
          <w:tcPr>
            <w:tcW w:w="8314" w:type="dxa"/>
          </w:tcPr>
          <w:p w14:paraId="7E1C33D7" w14:textId="336D2BB5" w:rsidR="001A0A74" w:rsidRPr="001A0A74" w:rsidRDefault="001A0A74" w:rsidP="001A0A74">
            <w:pPr>
              <w:pStyle w:val="Title"/>
              <w:jc w:val="left"/>
              <w:rPr>
                <w:rFonts w:asciiTheme="minorHAnsi" w:hAnsiTheme="minorHAnsi" w:cstheme="minorHAnsi"/>
                <w:b w:val="0"/>
                <w:bCs w:val="0"/>
                <w:sz w:val="22"/>
                <w:szCs w:val="22"/>
                <w:u w:val="none"/>
              </w:rPr>
            </w:pPr>
            <w:r w:rsidRPr="001A0A74">
              <w:rPr>
                <w:rFonts w:asciiTheme="minorHAnsi" w:hAnsiTheme="minorHAnsi" w:cstheme="minorHAnsi"/>
                <w:b w:val="0"/>
                <w:bCs w:val="0"/>
                <w:sz w:val="22"/>
                <w:szCs w:val="22"/>
                <w:u w:val="none"/>
              </w:rPr>
              <w:t>Ability to lone work or as part of a team</w:t>
            </w:r>
          </w:p>
        </w:tc>
        <w:tc>
          <w:tcPr>
            <w:tcW w:w="1230" w:type="dxa"/>
          </w:tcPr>
          <w:p w14:paraId="1AFDB01A" w14:textId="73C9B721"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115985A1"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80DF60B" w14:textId="77777777" w:rsidTr="001A0A74">
        <w:tc>
          <w:tcPr>
            <w:tcW w:w="8314" w:type="dxa"/>
          </w:tcPr>
          <w:p w14:paraId="6AB509E1" w14:textId="643FA3C1" w:rsidR="001A0A74" w:rsidRPr="001A0A74" w:rsidRDefault="001A0A74" w:rsidP="001A0A74">
            <w:pPr>
              <w:autoSpaceDE w:val="0"/>
              <w:autoSpaceDN w:val="0"/>
              <w:adjustRightInd w:val="0"/>
              <w:rPr>
                <w:rFonts w:asciiTheme="minorHAnsi" w:eastAsia="Calibri" w:hAnsiTheme="minorHAnsi" w:cstheme="minorHAnsi"/>
                <w:sz w:val="22"/>
                <w:szCs w:val="22"/>
              </w:rPr>
            </w:pPr>
            <w:r w:rsidRPr="001A0A74">
              <w:rPr>
                <w:rFonts w:asciiTheme="minorHAnsi" w:eastAsia="Calibri" w:hAnsiTheme="minorHAnsi" w:cstheme="minorHAnsi"/>
                <w:sz w:val="22"/>
                <w:szCs w:val="22"/>
              </w:rPr>
              <w:t>Ability to wor</w:t>
            </w:r>
            <w:r>
              <w:rPr>
                <w:rFonts w:asciiTheme="minorHAnsi" w:eastAsia="Calibri" w:hAnsiTheme="minorHAnsi" w:cstheme="minorHAnsi"/>
                <w:sz w:val="22"/>
                <w:szCs w:val="22"/>
              </w:rPr>
              <w:t>k to predetermined instructions</w:t>
            </w:r>
          </w:p>
        </w:tc>
        <w:tc>
          <w:tcPr>
            <w:tcW w:w="1230" w:type="dxa"/>
          </w:tcPr>
          <w:p w14:paraId="3E48F154" w14:textId="1C835A03"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0F5EEF45"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6F59E4C0" w14:textId="77777777" w:rsidTr="001A0A74">
        <w:trPr>
          <w:trHeight w:val="421"/>
        </w:trPr>
        <w:tc>
          <w:tcPr>
            <w:tcW w:w="8314" w:type="dxa"/>
          </w:tcPr>
          <w:p w14:paraId="3643FBBA" w14:textId="302D267D" w:rsidR="001A0A74" w:rsidRPr="001A0A74" w:rsidRDefault="001A0A74" w:rsidP="001A0A74">
            <w:pPr>
              <w:autoSpaceDE w:val="0"/>
              <w:autoSpaceDN w:val="0"/>
              <w:adjustRightInd w:val="0"/>
              <w:rPr>
                <w:rFonts w:asciiTheme="minorHAnsi" w:eastAsia="Calibri" w:hAnsiTheme="minorHAnsi" w:cstheme="minorHAnsi"/>
                <w:sz w:val="22"/>
                <w:szCs w:val="22"/>
              </w:rPr>
            </w:pPr>
            <w:r w:rsidRPr="001A0A74">
              <w:rPr>
                <w:rFonts w:asciiTheme="minorHAnsi" w:eastAsia="Calibri" w:hAnsiTheme="minorHAnsi" w:cstheme="minorHAnsi"/>
                <w:sz w:val="22"/>
                <w:szCs w:val="22"/>
              </w:rPr>
              <w:t>Effective oral a</w:t>
            </w:r>
            <w:r>
              <w:rPr>
                <w:rFonts w:asciiTheme="minorHAnsi" w:eastAsia="Calibri" w:hAnsiTheme="minorHAnsi" w:cstheme="minorHAnsi"/>
                <w:sz w:val="22"/>
                <w:szCs w:val="22"/>
              </w:rPr>
              <w:t>nd written communication skills</w:t>
            </w:r>
          </w:p>
        </w:tc>
        <w:tc>
          <w:tcPr>
            <w:tcW w:w="1230" w:type="dxa"/>
          </w:tcPr>
          <w:p w14:paraId="691CE81C" w14:textId="7620E3A7"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15015656"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6405EB0A" w14:textId="77777777" w:rsidTr="001A0A74">
        <w:tc>
          <w:tcPr>
            <w:tcW w:w="8314" w:type="dxa"/>
          </w:tcPr>
          <w:p w14:paraId="21B467EF" w14:textId="3BB56D04" w:rsidR="001A0A74" w:rsidRPr="001A0A74" w:rsidRDefault="001A0A74" w:rsidP="001A0A74">
            <w:pPr>
              <w:pStyle w:val="Title"/>
              <w:jc w:val="left"/>
              <w:rPr>
                <w:rFonts w:asciiTheme="minorHAnsi" w:hAnsiTheme="minorHAnsi" w:cstheme="minorHAnsi"/>
                <w:b w:val="0"/>
                <w:bCs w:val="0"/>
                <w:sz w:val="22"/>
                <w:szCs w:val="22"/>
                <w:u w:val="none"/>
              </w:rPr>
            </w:pPr>
            <w:r w:rsidRPr="001A0A74">
              <w:rPr>
                <w:rFonts w:asciiTheme="minorHAnsi" w:eastAsia="Calibri" w:hAnsiTheme="minorHAnsi" w:cstheme="minorHAnsi"/>
                <w:b w:val="0"/>
                <w:sz w:val="22"/>
                <w:szCs w:val="22"/>
                <w:u w:val="none"/>
                <w:lang w:eastAsia="en-GB"/>
              </w:rPr>
              <w:t>Ability to communicate with candidates and members of staff clearly and</w:t>
            </w:r>
            <w:r w:rsidRPr="001A0A74">
              <w:rPr>
                <w:rFonts w:asciiTheme="minorHAnsi" w:eastAsia="Calibri" w:hAnsiTheme="minorHAnsi" w:cstheme="minorHAnsi"/>
                <w:b w:val="0"/>
                <w:sz w:val="22"/>
                <w:szCs w:val="22"/>
                <w:u w:val="none"/>
                <w:lang w:eastAsia="en-GB"/>
              </w:rPr>
              <w:t xml:space="preserve"> accurately</w:t>
            </w:r>
          </w:p>
        </w:tc>
        <w:tc>
          <w:tcPr>
            <w:tcW w:w="1230" w:type="dxa"/>
          </w:tcPr>
          <w:p w14:paraId="2103FA77" w14:textId="7F65DBB0"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30AC7B60" w14:textId="6C70CA9E"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11FD1D00" w14:textId="77777777" w:rsidTr="001A0A74">
        <w:tc>
          <w:tcPr>
            <w:tcW w:w="8314" w:type="dxa"/>
          </w:tcPr>
          <w:p w14:paraId="4CFE0B46" w14:textId="77777777" w:rsidR="001A0A74" w:rsidRDefault="001A0A74" w:rsidP="001A0A74">
            <w:pPr>
              <w:rPr>
                <w:rFonts w:asciiTheme="minorHAnsi" w:hAnsiTheme="minorHAnsi" w:cstheme="minorHAnsi"/>
                <w:sz w:val="22"/>
                <w:szCs w:val="22"/>
              </w:rPr>
            </w:pPr>
            <w:r>
              <w:rPr>
                <w:rFonts w:asciiTheme="minorHAnsi" w:hAnsiTheme="minorHAnsi" w:cstheme="minorHAnsi"/>
                <w:sz w:val="22"/>
                <w:szCs w:val="22"/>
              </w:rPr>
              <w:t>Monitor, record and make basis assessments about individual progress</w:t>
            </w:r>
          </w:p>
        </w:tc>
        <w:tc>
          <w:tcPr>
            <w:tcW w:w="1230" w:type="dxa"/>
          </w:tcPr>
          <w:p w14:paraId="49034AA8"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1E53DAC9"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B872D1E" w14:textId="77777777" w:rsidTr="001A0A74">
        <w:tc>
          <w:tcPr>
            <w:tcW w:w="8314" w:type="dxa"/>
          </w:tcPr>
          <w:p w14:paraId="364E4385" w14:textId="77777777" w:rsidR="001A0A74" w:rsidRDefault="001A0A74" w:rsidP="001A0A74">
            <w:pPr>
              <w:rPr>
                <w:rFonts w:asciiTheme="minorHAnsi" w:hAnsiTheme="minorHAnsi" w:cstheme="minorHAnsi"/>
                <w:sz w:val="22"/>
                <w:szCs w:val="22"/>
              </w:rPr>
            </w:pPr>
            <w:r>
              <w:rPr>
                <w:rFonts w:asciiTheme="minorHAnsi" w:hAnsiTheme="minorHAnsi" w:cstheme="minorHAnsi"/>
                <w:sz w:val="22"/>
                <w:szCs w:val="22"/>
              </w:rPr>
              <w:t>Able to deal confidently with any incidences of poor student behaviour</w:t>
            </w:r>
          </w:p>
        </w:tc>
        <w:tc>
          <w:tcPr>
            <w:tcW w:w="1230" w:type="dxa"/>
          </w:tcPr>
          <w:p w14:paraId="738119D5" w14:textId="2D267B39"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3AC8FC63" w14:textId="3E19FD8B"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1A0A74" w:rsidRPr="00617666" w14:paraId="30F2850C" w14:textId="77777777" w:rsidTr="2AF1ED69">
        <w:tc>
          <w:tcPr>
            <w:tcW w:w="10774" w:type="dxa"/>
            <w:gridSpan w:val="3"/>
            <w:shd w:val="clear" w:color="auto" w:fill="FFF2CC" w:themeFill="accent4" w:themeFillTint="33"/>
          </w:tcPr>
          <w:p w14:paraId="1BDAB8DC" w14:textId="77777777" w:rsidR="001A0A74" w:rsidRPr="00CD631B" w:rsidRDefault="001A0A74" w:rsidP="001A0A74">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 xml:space="preserve">Personal Qualities </w:t>
            </w:r>
          </w:p>
        </w:tc>
      </w:tr>
      <w:tr w:rsidR="001A0A74" w:rsidRPr="00617666" w14:paraId="6AC22116" w14:textId="77777777" w:rsidTr="001A0A74">
        <w:tc>
          <w:tcPr>
            <w:tcW w:w="8314" w:type="dxa"/>
          </w:tcPr>
          <w:p w14:paraId="62E6EEE1" w14:textId="3C05DE18"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Reliability and punctuality</w:t>
            </w:r>
          </w:p>
        </w:tc>
        <w:tc>
          <w:tcPr>
            <w:tcW w:w="1230" w:type="dxa"/>
          </w:tcPr>
          <w:p w14:paraId="50671F8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1F32610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5849AA73" w14:textId="77777777" w:rsidTr="001A0A74">
        <w:tc>
          <w:tcPr>
            <w:tcW w:w="8314" w:type="dxa"/>
          </w:tcPr>
          <w:p w14:paraId="5BCB6506" w14:textId="609DFE21" w:rsidR="001A0A74" w:rsidRPr="00574F45" w:rsidRDefault="001A0A74" w:rsidP="00574F45">
            <w:pPr>
              <w:pStyle w:val="Title"/>
              <w:jc w:val="left"/>
              <w:rPr>
                <w:rFonts w:asciiTheme="minorHAnsi" w:hAnsiTheme="minorHAnsi" w:cstheme="minorHAnsi"/>
                <w:b w:val="0"/>
                <w:bCs w:val="0"/>
                <w:sz w:val="22"/>
                <w:szCs w:val="22"/>
                <w:u w:val="none"/>
              </w:rPr>
            </w:pPr>
            <w:r w:rsidRPr="00574F45">
              <w:rPr>
                <w:rFonts w:asciiTheme="minorHAnsi" w:hAnsiTheme="minorHAnsi" w:cstheme="minorHAnsi"/>
                <w:b w:val="0"/>
                <w:bCs w:val="0"/>
                <w:sz w:val="22"/>
                <w:szCs w:val="22"/>
                <w:u w:val="none"/>
              </w:rPr>
              <w:t>Committed to equal opportunities</w:t>
            </w:r>
          </w:p>
        </w:tc>
        <w:tc>
          <w:tcPr>
            <w:tcW w:w="1230" w:type="dxa"/>
          </w:tcPr>
          <w:p w14:paraId="24EF8314" w14:textId="49986366" w:rsidR="001A0A74" w:rsidRDefault="00574F45"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13845F53" w14:textId="747FAD75"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75DF371F" w14:textId="77777777" w:rsidTr="001A0A74">
        <w:tc>
          <w:tcPr>
            <w:tcW w:w="8314" w:type="dxa"/>
          </w:tcPr>
          <w:p w14:paraId="347C4261" w14:textId="77777777"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Excellent interpersonal communication and administrative skills</w:t>
            </w:r>
          </w:p>
        </w:tc>
        <w:tc>
          <w:tcPr>
            <w:tcW w:w="1230" w:type="dxa"/>
          </w:tcPr>
          <w:p w14:paraId="1E0B409B"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30BA4B15"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21CD83A" w14:textId="77777777" w:rsidTr="001A0A74">
        <w:tc>
          <w:tcPr>
            <w:tcW w:w="8314" w:type="dxa"/>
          </w:tcPr>
          <w:p w14:paraId="25590D03" w14:textId="45AD1106"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Available for the examination sessions</w:t>
            </w:r>
          </w:p>
        </w:tc>
        <w:tc>
          <w:tcPr>
            <w:tcW w:w="1230" w:type="dxa"/>
          </w:tcPr>
          <w:p w14:paraId="6454E6C2"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282582EF"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7DFBC62" w14:textId="77777777" w:rsidTr="001A0A74">
        <w:tc>
          <w:tcPr>
            <w:tcW w:w="8314" w:type="dxa"/>
          </w:tcPr>
          <w:p w14:paraId="679FF4E5" w14:textId="77777777"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 xml:space="preserve">High level of honesty and integrity </w:t>
            </w:r>
          </w:p>
        </w:tc>
        <w:tc>
          <w:tcPr>
            <w:tcW w:w="1230" w:type="dxa"/>
          </w:tcPr>
          <w:p w14:paraId="7E82EE7F"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00048144"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6A2CF539" w14:textId="77777777" w:rsidTr="001A0A74">
        <w:tc>
          <w:tcPr>
            <w:tcW w:w="8314" w:type="dxa"/>
          </w:tcPr>
          <w:p w14:paraId="6D4ADBA9" w14:textId="5B2CF3EE"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Willing to undertake training</w:t>
            </w:r>
            <w:r w:rsidR="00574F45">
              <w:rPr>
                <w:rFonts w:asciiTheme="minorHAnsi" w:hAnsiTheme="minorHAnsi" w:cstheme="minorHAnsi"/>
                <w:sz w:val="22"/>
                <w:szCs w:val="22"/>
              </w:rPr>
              <w:t xml:space="preserve"> that is relevant</w:t>
            </w:r>
            <w:bookmarkStart w:id="0" w:name="_GoBack"/>
            <w:bookmarkEnd w:id="0"/>
            <w:r w:rsidR="00574F45">
              <w:rPr>
                <w:rFonts w:asciiTheme="minorHAnsi" w:hAnsiTheme="minorHAnsi" w:cstheme="minorHAnsi"/>
                <w:sz w:val="22"/>
                <w:szCs w:val="22"/>
              </w:rPr>
              <w:t xml:space="preserve"> to the post </w:t>
            </w:r>
          </w:p>
        </w:tc>
        <w:tc>
          <w:tcPr>
            <w:tcW w:w="1230" w:type="dxa"/>
          </w:tcPr>
          <w:p w14:paraId="6BD9C4D9"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1C61ACC0"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19F2D90D" w14:textId="77777777" w:rsidTr="001A0A74">
        <w:tc>
          <w:tcPr>
            <w:tcW w:w="8314" w:type="dxa"/>
          </w:tcPr>
          <w:p w14:paraId="59C883BE" w14:textId="7F592083" w:rsidR="001A0A74" w:rsidRDefault="001A0A74" w:rsidP="001A0A74">
            <w:pPr>
              <w:rPr>
                <w:rFonts w:asciiTheme="minorHAnsi" w:hAnsiTheme="minorHAnsi" w:cstheme="minorHAnsi"/>
                <w:sz w:val="22"/>
                <w:szCs w:val="22"/>
              </w:rPr>
            </w:pPr>
            <w:r>
              <w:rPr>
                <w:rFonts w:asciiTheme="minorHAnsi" w:hAnsiTheme="minorHAnsi" w:cstheme="minorHAnsi"/>
                <w:sz w:val="22"/>
                <w:szCs w:val="22"/>
              </w:rPr>
              <w:t>Tactful and understands confidentiality</w:t>
            </w:r>
          </w:p>
        </w:tc>
        <w:tc>
          <w:tcPr>
            <w:tcW w:w="1230" w:type="dxa"/>
          </w:tcPr>
          <w:p w14:paraId="7C72E969"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5F7155BB"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30981AE9" w14:textId="77777777" w:rsidTr="2AF1ED69">
        <w:tc>
          <w:tcPr>
            <w:tcW w:w="10774" w:type="dxa"/>
            <w:gridSpan w:val="3"/>
            <w:shd w:val="clear" w:color="auto" w:fill="FFF2CC" w:themeFill="accent4" w:themeFillTint="33"/>
          </w:tcPr>
          <w:p w14:paraId="147D93B4" w14:textId="77777777" w:rsidR="001A0A74" w:rsidRPr="00CD631B" w:rsidRDefault="001A0A74" w:rsidP="001A0A74">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Further requirements</w:t>
            </w:r>
          </w:p>
        </w:tc>
      </w:tr>
      <w:tr w:rsidR="001A0A74" w:rsidRPr="00617666" w14:paraId="2649EDA1" w14:textId="77777777" w:rsidTr="001A0A74">
        <w:tc>
          <w:tcPr>
            <w:tcW w:w="8314" w:type="dxa"/>
          </w:tcPr>
          <w:p w14:paraId="564D312A" w14:textId="77777777" w:rsidR="001A0A74" w:rsidRDefault="001A0A74" w:rsidP="001A0A74">
            <w:pPr>
              <w:rPr>
                <w:rFonts w:asciiTheme="minorHAnsi" w:hAnsiTheme="minorHAnsi" w:cstheme="minorHAnsi"/>
                <w:sz w:val="22"/>
                <w:szCs w:val="22"/>
              </w:rPr>
            </w:pPr>
            <w:r>
              <w:rPr>
                <w:rFonts w:asciiTheme="minorHAnsi" w:hAnsiTheme="minorHAnsi" w:cstheme="minorHAnsi"/>
                <w:sz w:val="22"/>
                <w:szCs w:val="22"/>
              </w:rPr>
              <w:t xml:space="preserve">Willingness to work flexible hours on occasion </w:t>
            </w:r>
          </w:p>
        </w:tc>
        <w:tc>
          <w:tcPr>
            <w:tcW w:w="1230" w:type="dxa"/>
          </w:tcPr>
          <w:p w14:paraId="6A63EDE6"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16AA8200"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0ABFD3E9" w14:textId="77777777" w:rsidTr="001A0A74">
        <w:tc>
          <w:tcPr>
            <w:tcW w:w="8314" w:type="dxa"/>
          </w:tcPr>
          <w:p w14:paraId="7D2DF2BB" w14:textId="77777777" w:rsidR="001A0A74" w:rsidRPr="00CD631B"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maintain confidentiality on school matters</w:t>
            </w:r>
          </w:p>
        </w:tc>
        <w:tc>
          <w:tcPr>
            <w:tcW w:w="1230" w:type="dxa"/>
          </w:tcPr>
          <w:p w14:paraId="66C5E771"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514CCF76"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r w:rsidR="001A0A74" w:rsidRPr="00617666" w14:paraId="612390F2" w14:textId="77777777" w:rsidTr="001A0A74">
        <w:tc>
          <w:tcPr>
            <w:tcW w:w="8314" w:type="dxa"/>
          </w:tcPr>
          <w:p w14:paraId="01C2125B" w14:textId="77777777" w:rsidR="001A0A74"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be involved in internal and external meetings</w:t>
            </w:r>
          </w:p>
        </w:tc>
        <w:tc>
          <w:tcPr>
            <w:tcW w:w="1230" w:type="dxa"/>
          </w:tcPr>
          <w:p w14:paraId="0D46DED0"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72DE9C6A"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r w:rsidR="001A0A74" w:rsidRPr="00617666" w14:paraId="769BDF8E" w14:textId="77777777" w:rsidTr="001A0A74">
        <w:tc>
          <w:tcPr>
            <w:tcW w:w="8314" w:type="dxa"/>
          </w:tcPr>
          <w:p w14:paraId="2C7C8DF9" w14:textId="77777777" w:rsidR="001A0A74"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Supportive of the ethos of the trust and school</w:t>
            </w:r>
          </w:p>
        </w:tc>
        <w:tc>
          <w:tcPr>
            <w:tcW w:w="1230" w:type="dxa"/>
          </w:tcPr>
          <w:p w14:paraId="415F5F2D" w14:textId="77777777" w:rsidR="001A0A74" w:rsidRPr="00CD631B" w:rsidRDefault="001A0A74" w:rsidP="001A0A74">
            <w:pPr>
              <w:overflowPunct w:val="0"/>
              <w:autoSpaceDE w:val="0"/>
              <w:autoSpaceDN w:val="0"/>
              <w:adjustRightInd w:val="0"/>
              <w:jc w:val="center"/>
              <w:textAlignment w:val="baseline"/>
              <w:rPr>
                <w:b/>
              </w:rPr>
            </w:pPr>
            <w:r>
              <w:rPr>
                <w:rFonts w:ascii="Wingdings" w:eastAsia="Wingdings" w:hAnsi="Wingdings" w:cs="Wingdings"/>
                <w:b/>
              </w:rPr>
              <w:t></w:t>
            </w:r>
          </w:p>
        </w:tc>
        <w:tc>
          <w:tcPr>
            <w:tcW w:w="1230" w:type="dxa"/>
          </w:tcPr>
          <w:p w14:paraId="02D31366"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262DC1" w:rsidRDefault="00617666" w:rsidP="00617666">
      <w:pPr>
        <w:rPr>
          <w:rFonts w:asciiTheme="minorHAnsi" w:hAnsiTheme="minorHAnsi" w:cstheme="minorHAnsi"/>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0EB4" w14:textId="77777777" w:rsidR="007147D0" w:rsidRDefault="007147D0" w:rsidP="007147D0">
      <w:r>
        <w:separator/>
      </w:r>
    </w:p>
  </w:endnote>
  <w:endnote w:type="continuationSeparator" w:id="0">
    <w:p w14:paraId="5B0A3412" w14:textId="77777777" w:rsidR="007147D0" w:rsidRDefault="007147D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C2BC" w14:textId="77777777" w:rsidR="007147D0" w:rsidRDefault="007147D0" w:rsidP="007147D0">
      <w:r>
        <w:separator/>
      </w:r>
    </w:p>
  </w:footnote>
  <w:footnote w:type="continuationSeparator" w:id="0">
    <w:p w14:paraId="38F980ED" w14:textId="77777777" w:rsidR="007147D0" w:rsidRDefault="007147D0" w:rsidP="00714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640F" w14:textId="77777777"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5F999E8" wp14:editId="1392214A">
          <wp:extent cx="1724025" cy="460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 logo.png"/>
                  <pic:cNvPicPr/>
                </pic:nvPicPr>
                <pic:blipFill>
                  <a:blip r:embed="rId2">
                    <a:extLst>
                      <a:ext uri="{28A0092B-C50C-407E-A947-70E740481C1C}">
                        <a14:useLocalDpi xmlns:a14="http://schemas.microsoft.com/office/drawing/2010/main" val="0"/>
                      </a:ext>
                    </a:extLst>
                  </a:blip>
                  <a:stretch>
                    <a:fillRect/>
                  </a:stretch>
                </pic:blipFill>
                <pic:spPr>
                  <a:xfrm>
                    <a:off x="0" y="0"/>
                    <a:ext cx="1724025" cy="46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939"/>
    <w:multiLevelType w:val="multilevel"/>
    <w:tmpl w:val="4D7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B5575"/>
    <w:multiLevelType w:val="multilevel"/>
    <w:tmpl w:val="882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44FA"/>
    <w:multiLevelType w:val="multilevel"/>
    <w:tmpl w:val="E05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893"/>
    <w:multiLevelType w:val="multilevel"/>
    <w:tmpl w:val="3C7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E57F8"/>
    <w:multiLevelType w:val="multilevel"/>
    <w:tmpl w:val="1DF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77906"/>
    <w:multiLevelType w:val="multilevel"/>
    <w:tmpl w:val="7D56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61775"/>
    <w:multiLevelType w:val="multilevel"/>
    <w:tmpl w:val="54A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E46C3"/>
    <w:multiLevelType w:val="multilevel"/>
    <w:tmpl w:val="B80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A413E"/>
    <w:multiLevelType w:val="multilevel"/>
    <w:tmpl w:val="4D7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C1593"/>
    <w:multiLevelType w:val="multilevel"/>
    <w:tmpl w:val="B8E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56DF1"/>
    <w:multiLevelType w:val="multilevel"/>
    <w:tmpl w:val="032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0474A"/>
    <w:multiLevelType w:val="multilevel"/>
    <w:tmpl w:val="6EB8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B049A"/>
    <w:multiLevelType w:val="multilevel"/>
    <w:tmpl w:val="657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5B36F9"/>
    <w:multiLevelType w:val="hybridMultilevel"/>
    <w:tmpl w:val="7ABE3F64"/>
    <w:lvl w:ilvl="0" w:tplc="49ACDEF8">
      <w:start w:val="1"/>
      <w:numFmt w:val="decimal"/>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4C93B2B"/>
    <w:multiLevelType w:val="multilevel"/>
    <w:tmpl w:val="28B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B55C8"/>
    <w:multiLevelType w:val="multilevel"/>
    <w:tmpl w:val="20E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E6EB6"/>
    <w:multiLevelType w:val="multilevel"/>
    <w:tmpl w:val="1F5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F00ED"/>
    <w:multiLevelType w:val="hybridMultilevel"/>
    <w:tmpl w:val="3EEC2F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C90767A"/>
    <w:multiLevelType w:val="multilevel"/>
    <w:tmpl w:val="101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6"/>
  </w:num>
  <w:num w:numId="5">
    <w:abstractNumId w:val="0"/>
  </w:num>
  <w:num w:numId="6">
    <w:abstractNumId w:val="22"/>
  </w:num>
  <w:num w:numId="7">
    <w:abstractNumId w:val="19"/>
  </w:num>
  <w:num w:numId="8">
    <w:abstractNumId w:val="12"/>
  </w:num>
  <w:num w:numId="9">
    <w:abstractNumId w:val="29"/>
  </w:num>
  <w:num w:numId="10">
    <w:abstractNumId w:val="23"/>
  </w:num>
  <w:num w:numId="11">
    <w:abstractNumId w:val="2"/>
  </w:num>
  <w:num w:numId="12">
    <w:abstractNumId w:val="20"/>
  </w:num>
  <w:num w:numId="13">
    <w:abstractNumId w:val="27"/>
  </w:num>
  <w:num w:numId="14">
    <w:abstractNumId w:val="14"/>
  </w:num>
  <w:num w:numId="15">
    <w:abstractNumId w:val="21"/>
  </w:num>
  <w:num w:numId="16">
    <w:abstractNumId w:val="18"/>
  </w:num>
  <w:num w:numId="17">
    <w:abstractNumId w:val="28"/>
  </w:num>
  <w:num w:numId="18">
    <w:abstractNumId w:val="4"/>
  </w:num>
  <w:num w:numId="19">
    <w:abstractNumId w:val="25"/>
  </w:num>
  <w:num w:numId="20">
    <w:abstractNumId w:val="15"/>
  </w:num>
  <w:num w:numId="21">
    <w:abstractNumId w:val="24"/>
  </w:num>
  <w:num w:numId="22">
    <w:abstractNumId w:val="9"/>
  </w:num>
  <w:num w:numId="23">
    <w:abstractNumId w:val="8"/>
  </w:num>
  <w:num w:numId="24">
    <w:abstractNumId w:val="6"/>
  </w:num>
  <w:num w:numId="25">
    <w:abstractNumId w:val="17"/>
  </w:num>
  <w:num w:numId="26">
    <w:abstractNumId w:val="11"/>
  </w:num>
  <w:num w:numId="27">
    <w:abstractNumId w:val="16"/>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7A"/>
    <w:rsid w:val="000504FC"/>
    <w:rsid w:val="00105927"/>
    <w:rsid w:val="001701A4"/>
    <w:rsid w:val="001777CF"/>
    <w:rsid w:val="00183114"/>
    <w:rsid w:val="001A0A74"/>
    <w:rsid w:val="002607B7"/>
    <w:rsid w:val="002833CA"/>
    <w:rsid w:val="002D6AD4"/>
    <w:rsid w:val="003F1C18"/>
    <w:rsid w:val="00415646"/>
    <w:rsid w:val="004A6FE0"/>
    <w:rsid w:val="00574F45"/>
    <w:rsid w:val="005F1516"/>
    <w:rsid w:val="00616179"/>
    <w:rsid w:val="00617666"/>
    <w:rsid w:val="0068462E"/>
    <w:rsid w:val="007147D0"/>
    <w:rsid w:val="00723154"/>
    <w:rsid w:val="00760B08"/>
    <w:rsid w:val="007909A0"/>
    <w:rsid w:val="007909E9"/>
    <w:rsid w:val="008B537D"/>
    <w:rsid w:val="009A1155"/>
    <w:rsid w:val="009F7822"/>
    <w:rsid w:val="00A34182"/>
    <w:rsid w:val="00A560EF"/>
    <w:rsid w:val="00AB3916"/>
    <w:rsid w:val="00AE23BD"/>
    <w:rsid w:val="00B02FDA"/>
    <w:rsid w:val="00B2631B"/>
    <w:rsid w:val="00B858A9"/>
    <w:rsid w:val="00B90432"/>
    <w:rsid w:val="00CA2FBD"/>
    <w:rsid w:val="00CD3FE6"/>
    <w:rsid w:val="00CD631B"/>
    <w:rsid w:val="00D64C7A"/>
    <w:rsid w:val="00DC509D"/>
    <w:rsid w:val="00E71ACB"/>
    <w:rsid w:val="00EA3FFC"/>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5">
    <w:name w:val="heading 5"/>
    <w:basedOn w:val="Normal"/>
    <w:link w:val="Heading5Char"/>
    <w:uiPriority w:val="9"/>
    <w:qFormat/>
    <w:rsid w:val="005F1516"/>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customStyle="1" w:styleId="Default">
    <w:name w:val="Default"/>
    <w:rsid w:val="00DC509D"/>
    <w:pPr>
      <w:autoSpaceDE w:val="0"/>
      <w:autoSpaceDN w:val="0"/>
      <w:adjustRightInd w:val="0"/>
      <w:spacing w:after="0"/>
    </w:pPr>
    <w:rPr>
      <w:rFonts w:ascii="Calibri" w:eastAsia="Calibri" w:hAnsi="Calibri" w:cs="Calibri"/>
      <w:color w:val="000000"/>
      <w:sz w:val="24"/>
      <w:szCs w:val="24"/>
    </w:rPr>
  </w:style>
  <w:style w:type="character" w:customStyle="1" w:styleId="Heading5Char">
    <w:name w:val="Heading 5 Char"/>
    <w:basedOn w:val="DefaultParagraphFont"/>
    <w:link w:val="Heading5"/>
    <w:uiPriority w:val="9"/>
    <w:rsid w:val="005F151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F1516"/>
    <w:pPr>
      <w:spacing w:before="100" w:beforeAutospacing="1" w:after="100" w:afterAutospacing="1"/>
    </w:pPr>
    <w:rPr>
      <w:rFonts w:eastAsia="Times New Roman"/>
    </w:rPr>
  </w:style>
  <w:style w:type="paragraph" w:styleId="Title">
    <w:name w:val="Title"/>
    <w:basedOn w:val="Normal"/>
    <w:link w:val="TitleChar"/>
    <w:qFormat/>
    <w:rsid w:val="001A0A74"/>
    <w:pPr>
      <w:jc w:val="center"/>
    </w:pPr>
    <w:rPr>
      <w:rFonts w:eastAsia="Times New Roman"/>
      <w:b/>
      <w:bCs/>
      <w:szCs w:val="20"/>
      <w:u w:val="single"/>
      <w:lang w:eastAsia="en-US"/>
    </w:rPr>
  </w:style>
  <w:style w:type="character" w:customStyle="1" w:styleId="TitleChar">
    <w:name w:val="Title Char"/>
    <w:basedOn w:val="DefaultParagraphFont"/>
    <w:link w:val="Title"/>
    <w:rsid w:val="001A0A74"/>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2">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1249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2</cp:revision>
  <dcterms:created xsi:type="dcterms:W3CDTF">2020-07-29T11:28:00Z</dcterms:created>
  <dcterms:modified xsi:type="dcterms:W3CDTF">2020-07-29T11:28:00Z</dcterms:modified>
</cp:coreProperties>
</file>